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1D" w:rsidRPr="009056BB" w:rsidRDefault="00AE121D" w:rsidP="002F5F84">
      <w:pPr>
        <w:shd w:val="clear" w:color="auto" w:fill="FFFFFF"/>
        <w:spacing w:line="240" w:lineRule="auto"/>
        <w:jc w:val="center"/>
        <w:outlineLvl w:val="1"/>
        <w:rPr>
          <w:rFonts w:ascii="Helvetica" w:eastAsia="Times New Roman" w:hAnsi="Helvetica" w:cs="Helvetica"/>
          <w:b/>
          <w:color w:val="1C2024"/>
          <w:spacing w:val="-1"/>
          <w:sz w:val="32"/>
          <w:szCs w:val="32"/>
          <w:lang w:eastAsia="it-IT"/>
        </w:rPr>
      </w:pPr>
      <w:r w:rsidRPr="009056BB">
        <w:rPr>
          <w:rFonts w:ascii="Helvetica" w:eastAsia="Times New Roman" w:hAnsi="Helvetica" w:cs="Helvetica"/>
          <w:b/>
          <w:color w:val="1C2024"/>
          <w:spacing w:val="-1"/>
          <w:sz w:val="32"/>
          <w:szCs w:val="32"/>
          <w:lang w:eastAsia="it-IT"/>
        </w:rPr>
        <w:t>ESABAC: cos’è ?</w:t>
      </w:r>
    </w:p>
    <w:p w:rsidR="00AE121D" w:rsidRPr="009056BB" w:rsidRDefault="00AE121D" w:rsidP="009056BB">
      <w:pPr>
        <w:shd w:val="clear" w:color="auto" w:fill="FFFFFF"/>
        <w:spacing w:line="240" w:lineRule="auto"/>
        <w:jc w:val="both"/>
        <w:outlineLvl w:val="1"/>
        <w:rPr>
          <w:rFonts w:ascii="Helvetica" w:eastAsia="Times New Roman" w:hAnsi="Helvetica" w:cs="Helvetica"/>
          <w:color w:val="1C2024"/>
          <w:spacing w:val="-1"/>
          <w:sz w:val="32"/>
          <w:szCs w:val="32"/>
          <w:lang w:eastAsia="it-IT"/>
        </w:rPr>
      </w:pPr>
      <w:r w:rsidRPr="009056BB">
        <w:rPr>
          <w:rFonts w:ascii="Helvetica" w:eastAsia="Times New Roman" w:hAnsi="Helvetica" w:cs="Helvetica"/>
          <w:color w:val="1C2024"/>
          <w:spacing w:val="-1"/>
          <w:sz w:val="32"/>
          <w:szCs w:val="32"/>
          <w:lang w:eastAsia="it-IT"/>
        </w:rPr>
        <w:t>Dal sito del MIUR</w:t>
      </w:r>
    </w:p>
    <w:p w:rsidR="00605D64" w:rsidRDefault="00AE121D" w:rsidP="00605D64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it-IT"/>
        </w:rPr>
      </w:pPr>
      <w:r w:rsidRPr="009056BB">
        <w:rPr>
          <w:rFonts w:ascii="Helvetica" w:eastAsia="Times New Roman" w:hAnsi="Helvetica" w:cs="Helvetica"/>
          <w:color w:val="333333"/>
          <w:sz w:val="32"/>
          <w:szCs w:val="32"/>
          <w:lang w:eastAsia="it-IT"/>
        </w:rPr>
        <w:t xml:space="preserve">‘’ Il duplice diploma </w:t>
      </w:r>
      <w:proofErr w:type="spellStart"/>
      <w:r w:rsidRPr="009056BB">
        <w:rPr>
          <w:rFonts w:ascii="Helvetica" w:eastAsia="Times New Roman" w:hAnsi="Helvetica" w:cs="Helvetica"/>
          <w:color w:val="333333"/>
          <w:sz w:val="32"/>
          <w:szCs w:val="32"/>
          <w:lang w:eastAsia="it-IT"/>
        </w:rPr>
        <w:t>EsaBac</w:t>
      </w:r>
      <w:proofErr w:type="spellEnd"/>
      <w:r w:rsidRPr="009056BB">
        <w:rPr>
          <w:rFonts w:ascii="Helvetica" w:eastAsia="Times New Roman" w:hAnsi="Helvetica" w:cs="Helvetica"/>
          <w:color w:val="333333"/>
          <w:sz w:val="32"/>
          <w:szCs w:val="32"/>
          <w:lang w:eastAsia="it-IT"/>
        </w:rPr>
        <w:t xml:space="preserve"> è stato istituito nell’ambito della cooperazione educativa tra l’Italia e la Francia, grazie all'Accordo tra i due Ministeri sottoscritto il 24 febbraio 2009, con il quale la Francia e l’Italia promuovono nel loro sistema scolastico un percorso bilingue triennale del secondo ciclo di istruzione che permette di conseguire simultaneamente il diploma di Esame di Stato e il  </w:t>
      </w:r>
      <w:proofErr w:type="spellStart"/>
      <w:r w:rsidRPr="009056BB">
        <w:rPr>
          <w:rFonts w:ascii="Helvetica" w:eastAsia="Times New Roman" w:hAnsi="Helvetica" w:cs="Helvetica"/>
          <w:color w:val="333333"/>
          <w:sz w:val="32"/>
          <w:szCs w:val="32"/>
          <w:lang w:eastAsia="it-IT"/>
        </w:rPr>
        <w:t>Baccalauréat</w:t>
      </w:r>
      <w:proofErr w:type="spellEnd"/>
      <w:r w:rsidRPr="009056BB">
        <w:rPr>
          <w:rFonts w:ascii="Helvetica" w:eastAsia="Times New Roman" w:hAnsi="Helvetica" w:cs="Helvetica"/>
          <w:color w:val="333333"/>
          <w:sz w:val="32"/>
          <w:szCs w:val="32"/>
          <w:lang w:eastAsia="it-IT"/>
        </w:rPr>
        <w:t>.</w:t>
      </w:r>
    </w:p>
    <w:p w:rsidR="0060124C" w:rsidRPr="009056BB" w:rsidRDefault="00AE121D" w:rsidP="00605D64">
      <w:pPr>
        <w:shd w:val="clear" w:color="auto" w:fill="FFFFFF"/>
        <w:spacing w:after="0"/>
        <w:jc w:val="both"/>
        <w:rPr>
          <w:sz w:val="32"/>
          <w:szCs w:val="32"/>
        </w:rPr>
      </w:pPr>
      <w:r w:rsidRPr="009056BB">
        <w:rPr>
          <w:rFonts w:ascii="Helvetica" w:eastAsia="Times New Roman" w:hAnsi="Helvetica" w:cs="Helvetica"/>
          <w:color w:val="333333"/>
          <w:sz w:val="32"/>
          <w:szCs w:val="32"/>
          <w:lang w:eastAsia="it-IT"/>
        </w:rPr>
        <w:br/>
        <w:t xml:space="preserve">Il curricolo italiano nelle sezioni </w:t>
      </w:r>
      <w:proofErr w:type="spellStart"/>
      <w:r w:rsidRPr="009056BB">
        <w:rPr>
          <w:rFonts w:ascii="Helvetica" w:eastAsia="Times New Roman" w:hAnsi="Helvetica" w:cs="Helvetica"/>
          <w:color w:val="333333"/>
          <w:sz w:val="32"/>
          <w:szCs w:val="32"/>
          <w:lang w:eastAsia="it-IT"/>
        </w:rPr>
        <w:t>EsaBac</w:t>
      </w:r>
      <w:proofErr w:type="spellEnd"/>
      <w:r w:rsidRPr="009056BB">
        <w:rPr>
          <w:rFonts w:ascii="Helvetica" w:eastAsia="Times New Roman" w:hAnsi="Helvetica" w:cs="Helvetica"/>
          <w:color w:val="333333"/>
          <w:sz w:val="32"/>
          <w:szCs w:val="32"/>
          <w:lang w:eastAsia="it-IT"/>
        </w:rPr>
        <w:t xml:space="preserve"> prevede nell’arco di un triennio lo studio della Lingua e della letteratura francese, per quattro ore settimanali, e della Storia veicolata in lingua fra</w:t>
      </w:r>
      <w:r w:rsidR="00605D64">
        <w:rPr>
          <w:rFonts w:ascii="Helvetica" w:eastAsia="Times New Roman" w:hAnsi="Helvetica" w:cs="Helvetica"/>
          <w:color w:val="333333"/>
          <w:sz w:val="32"/>
          <w:szCs w:val="32"/>
          <w:lang w:eastAsia="it-IT"/>
        </w:rPr>
        <w:t>ncese per due ore a settimana. </w:t>
      </w:r>
      <w:r w:rsidRPr="009056BB">
        <w:rPr>
          <w:rFonts w:ascii="Helvetica" w:eastAsia="Times New Roman" w:hAnsi="Helvetica" w:cs="Helvetica"/>
          <w:color w:val="333333"/>
          <w:sz w:val="32"/>
          <w:szCs w:val="32"/>
          <w:lang w:eastAsia="it-IT"/>
        </w:rPr>
        <w:t>In Francia, il curricolo prevede un insegnamento in italiano di Lingua e Letteratura italiana e di Storia veicolata in italiano.</w:t>
      </w:r>
      <w:r w:rsidR="0060124C" w:rsidRPr="009056BB">
        <w:rPr>
          <w:sz w:val="32"/>
          <w:szCs w:val="32"/>
        </w:rPr>
        <w:t xml:space="preserve"> </w:t>
      </w:r>
    </w:p>
    <w:p w:rsidR="009056BB" w:rsidRPr="009056BB" w:rsidRDefault="009056BB" w:rsidP="00605D64">
      <w:pPr>
        <w:shd w:val="clear" w:color="auto" w:fill="FFFFFF"/>
        <w:spacing w:after="0"/>
        <w:jc w:val="both"/>
        <w:rPr>
          <w:rFonts w:ascii="Helvetica" w:eastAsia="Times New Roman" w:hAnsi="Helvetica" w:cs="Helvetica"/>
          <w:b/>
          <w:color w:val="333333"/>
          <w:sz w:val="32"/>
          <w:szCs w:val="32"/>
          <w:lang w:eastAsia="it-IT"/>
        </w:rPr>
      </w:pPr>
    </w:p>
    <w:p w:rsidR="009056BB" w:rsidRPr="009056BB" w:rsidRDefault="009056BB" w:rsidP="00605D64">
      <w:pPr>
        <w:shd w:val="clear" w:color="auto" w:fill="FFFFFF"/>
        <w:spacing w:after="0"/>
        <w:jc w:val="both"/>
        <w:rPr>
          <w:rFonts w:ascii="Helvetica" w:eastAsia="Times New Roman" w:hAnsi="Helvetica" w:cs="Helvetica"/>
          <w:b/>
          <w:color w:val="333333"/>
          <w:sz w:val="32"/>
          <w:szCs w:val="32"/>
          <w:lang w:eastAsia="it-IT"/>
        </w:rPr>
      </w:pPr>
    </w:p>
    <w:p w:rsidR="0060124C" w:rsidRPr="009056BB" w:rsidRDefault="0060124C" w:rsidP="002F5F8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it-IT"/>
        </w:rPr>
      </w:pPr>
      <w:r w:rsidRPr="009056BB">
        <w:rPr>
          <w:rFonts w:ascii="Helvetica" w:eastAsia="Times New Roman" w:hAnsi="Helvetica" w:cs="Helvetica"/>
          <w:b/>
          <w:color w:val="333333"/>
          <w:sz w:val="32"/>
          <w:szCs w:val="32"/>
          <w:lang w:eastAsia="it-IT"/>
        </w:rPr>
        <w:t xml:space="preserve">ESABAC: </w:t>
      </w:r>
      <w:proofErr w:type="spellStart"/>
      <w:r w:rsidRPr="009056BB">
        <w:rPr>
          <w:rFonts w:ascii="Helvetica" w:eastAsia="Times New Roman" w:hAnsi="Helvetica" w:cs="Helvetica"/>
          <w:b/>
          <w:color w:val="333333"/>
          <w:sz w:val="32"/>
          <w:szCs w:val="32"/>
          <w:lang w:eastAsia="it-IT"/>
        </w:rPr>
        <w:t>perchè</w:t>
      </w:r>
      <w:proofErr w:type="spellEnd"/>
      <w:r w:rsidRPr="009056BB">
        <w:rPr>
          <w:rFonts w:ascii="Helvetica" w:eastAsia="Times New Roman" w:hAnsi="Helvetica" w:cs="Helvetica"/>
          <w:b/>
          <w:color w:val="333333"/>
          <w:sz w:val="32"/>
          <w:szCs w:val="32"/>
          <w:lang w:eastAsia="it-IT"/>
        </w:rPr>
        <w:t>?</w:t>
      </w:r>
      <w:r w:rsidR="00AE121D" w:rsidRPr="009056BB">
        <w:rPr>
          <w:rFonts w:ascii="Helvetica" w:eastAsia="Times New Roman" w:hAnsi="Helvetica" w:cs="Helvetica"/>
          <w:color w:val="333333"/>
          <w:sz w:val="32"/>
          <w:szCs w:val="32"/>
          <w:lang w:eastAsia="it-IT"/>
        </w:rPr>
        <w:br/>
      </w:r>
    </w:p>
    <w:p w:rsidR="00AE121D" w:rsidRPr="009056BB" w:rsidRDefault="00AE121D" w:rsidP="00044440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it-IT"/>
        </w:rPr>
      </w:pPr>
      <w:r w:rsidRPr="009056BB">
        <w:rPr>
          <w:rFonts w:ascii="Helvetica" w:eastAsia="Times New Roman" w:hAnsi="Helvetica" w:cs="Helvetica"/>
          <w:color w:val="333333"/>
          <w:sz w:val="32"/>
          <w:szCs w:val="32"/>
          <w:lang w:eastAsia="it-IT"/>
        </w:rPr>
        <w:t xml:space="preserve">Il percorso </w:t>
      </w:r>
      <w:proofErr w:type="spellStart"/>
      <w:r w:rsidRPr="009056BB">
        <w:rPr>
          <w:rFonts w:ascii="Helvetica" w:eastAsia="Times New Roman" w:hAnsi="Helvetica" w:cs="Helvetica"/>
          <w:color w:val="333333"/>
          <w:sz w:val="32"/>
          <w:szCs w:val="32"/>
          <w:lang w:eastAsia="it-IT"/>
        </w:rPr>
        <w:t>EsaBac</w:t>
      </w:r>
      <w:proofErr w:type="spellEnd"/>
      <w:r w:rsidRPr="009056BB">
        <w:rPr>
          <w:rFonts w:ascii="Helvetica" w:eastAsia="Times New Roman" w:hAnsi="Helvetica" w:cs="Helvetica"/>
          <w:color w:val="333333"/>
          <w:sz w:val="32"/>
          <w:szCs w:val="32"/>
          <w:lang w:eastAsia="it-IT"/>
        </w:rPr>
        <w:t xml:space="preserve"> offre agli studenti degli ultimi tre anni di scuola secondaria una formazione integrata basata sullo studio approfondito della lingua e della cultura del paese partner, con un’attenzione specifica allo sviluppo delle competenze  storico-letterarie e interculturali, acquisite in una prospettiva europea e internazionale.</w:t>
      </w:r>
      <w:r w:rsidRPr="009056BB">
        <w:rPr>
          <w:rFonts w:ascii="Helvetica" w:eastAsia="Times New Roman" w:hAnsi="Helvetica" w:cs="Helvetica"/>
          <w:color w:val="333333"/>
          <w:sz w:val="32"/>
          <w:szCs w:val="32"/>
          <w:lang w:eastAsia="it-IT"/>
        </w:rPr>
        <w:br/>
        <w:t>Al termine del percorso, gli studenti raggiungono un livello di competenza linguistica pari al livello B2. </w:t>
      </w:r>
    </w:p>
    <w:p w:rsidR="00AE121D" w:rsidRPr="009056BB" w:rsidRDefault="00AE121D" w:rsidP="00044440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it-IT"/>
        </w:rPr>
      </w:pPr>
      <w:r w:rsidRPr="009056BB">
        <w:rPr>
          <w:rFonts w:ascii="Helvetica" w:eastAsia="Times New Roman" w:hAnsi="Helvetica" w:cs="Helvetica"/>
          <w:color w:val="333333"/>
          <w:sz w:val="32"/>
          <w:szCs w:val="32"/>
          <w:lang w:eastAsia="it-IT"/>
        </w:rPr>
        <w:t xml:space="preserve">È possibile conseguire questo particolare titolo di studio esclusivamente nelle scuole autorizzate dal </w:t>
      </w:r>
      <w:proofErr w:type="spellStart"/>
      <w:r w:rsidRPr="009056BB">
        <w:rPr>
          <w:rFonts w:ascii="Helvetica" w:eastAsia="Times New Roman" w:hAnsi="Helvetica" w:cs="Helvetica"/>
          <w:color w:val="333333"/>
          <w:sz w:val="32"/>
          <w:szCs w:val="32"/>
          <w:lang w:eastAsia="it-IT"/>
        </w:rPr>
        <w:t>Miur</w:t>
      </w:r>
      <w:proofErr w:type="spellEnd"/>
      <w:r w:rsidRPr="009056BB">
        <w:rPr>
          <w:rFonts w:ascii="Helvetica" w:eastAsia="Times New Roman" w:hAnsi="Helvetica" w:cs="Helvetica"/>
          <w:color w:val="333333"/>
          <w:sz w:val="32"/>
          <w:szCs w:val="32"/>
          <w:lang w:eastAsia="it-IT"/>
        </w:rPr>
        <w:t xml:space="preserve"> ad attivar</w:t>
      </w:r>
      <w:r w:rsidR="00044440">
        <w:rPr>
          <w:rFonts w:ascii="Helvetica" w:eastAsia="Times New Roman" w:hAnsi="Helvetica" w:cs="Helvetica"/>
          <w:color w:val="333333"/>
          <w:sz w:val="32"/>
          <w:szCs w:val="32"/>
          <w:lang w:eastAsia="it-IT"/>
        </w:rPr>
        <w:t xml:space="preserve">e l’indirizzo di studi </w:t>
      </w:r>
      <w:proofErr w:type="spellStart"/>
      <w:r w:rsidR="00044440">
        <w:rPr>
          <w:rFonts w:ascii="Helvetica" w:eastAsia="Times New Roman" w:hAnsi="Helvetica" w:cs="Helvetica"/>
          <w:color w:val="333333"/>
          <w:sz w:val="32"/>
          <w:szCs w:val="32"/>
          <w:lang w:eastAsia="it-IT"/>
        </w:rPr>
        <w:t>EsaBac</w:t>
      </w:r>
      <w:proofErr w:type="spellEnd"/>
      <w:r w:rsidR="00044440">
        <w:rPr>
          <w:rFonts w:ascii="Helvetica" w:eastAsia="Times New Roman" w:hAnsi="Helvetica" w:cs="Helvetica"/>
          <w:color w:val="333333"/>
          <w:sz w:val="32"/>
          <w:szCs w:val="32"/>
          <w:lang w:eastAsia="it-IT"/>
        </w:rPr>
        <w:t>. </w:t>
      </w:r>
      <w:r w:rsidRPr="009056BB">
        <w:rPr>
          <w:rFonts w:ascii="Helvetica" w:eastAsia="Times New Roman" w:hAnsi="Helvetica" w:cs="Helvetica"/>
          <w:color w:val="333333"/>
          <w:sz w:val="32"/>
          <w:szCs w:val="32"/>
          <w:lang w:eastAsia="it-IT"/>
        </w:rPr>
        <w:t>L</w:t>
      </w:r>
      <w:bookmarkStart w:id="0" w:name="_GoBack"/>
      <w:bookmarkEnd w:id="0"/>
      <w:r w:rsidRPr="009056BB">
        <w:rPr>
          <w:rFonts w:ascii="Helvetica" w:eastAsia="Times New Roman" w:hAnsi="Helvetica" w:cs="Helvetica"/>
          <w:color w:val="333333"/>
          <w:sz w:val="32"/>
          <w:szCs w:val="32"/>
          <w:lang w:eastAsia="it-IT"/>
        </w:rPr>
        <w:t xml:space="preserve">e sezioni </w:t>
      </w:r>
      <w:proofErr w:type="spellStart"/>
      <w:r w:rsidRPr="009056BB">
        <w:rPr>
          <w:rFonts w:ascii="Helvetica" w:eastAsia="Times New Roman" w:hAnsi="Helvetica" w:cs="Helvetica"/>
          <w:color w:val="333333"/>
          <w:sz w:val="32"/>
          <w:szCs w:val="32"/>
          <w:lang w:eastAsia="it-IT"/>
        </w:rPr>
        <w:t>Esabac</w:t>
      </w:r>
      <w:proofErr w:type="spellEnd"/>
      <w:r w:rsidRPr="009056BB">
        <w:rPr>
          <w:rFonts w:ascii="Helvetica" w:eastAsia="Times New Roman" w:hAnsi="Helvetica" w:cs="Helvetica"/>
          <w:color w:val="333333"/>
          <w:sz w:val="32"/>
          <w:szCs w:val="32"/>
          <w:lang w:eastAsia="it-IT"/>
        </w:rPr>
        <w:t xml:space="preserve"> sono presenti attualmente </w:t>
      </w:r>
      <w:proofErr w:type="spellStart"/>
      <w:r w:rsidRPr="009056BB">
        <w:rPr>
          <w:rFonts w:ascii="Helvetica" w:eastAsia="Times New Roman" w:hAnsi="Helvetica" w:cs="Helvetica"/>
          <w:color w:val="333333"/>
          <w:sz w:val="32"/>
          <w:szCs w:val="32"/>
          <w:lang w:eastAsia="it-IT"/>
        </w:rPr>
        <w:t>attualmente</w:t>
      </w:r>
      <w:proofErr w:type="spellEnd"/>
      <w:r w:rsidRPr="009056BB">
        <w:rPr>
          <w:rFonts w:ascii="Helvetica" w:eastAsia="Times New Roman" w:hAnsi="Helvetica" w:cs="Helvetica"/>
          <w:color w:val="333333"/>
          <w:sz w:val="32"/>
          <w:szCs w:val="32"/>
          <w:lang w:eastAsia="it-IT"/>
        </w:rPr>
        <w:t xml:space="preserve"> in 337 scuole distribuite sull’intero territorio nazionale.’’  </w:t>
      </w:r>
    </w:p>
    <w:p w:rsidR="00F371CA" w:rsidRPr="009056BB" w:rsidRDefault="00044440" w:rsidP="00044440">
      <w:pPr>
        <w:jc w:val="both"/>
        <w:rPr>
          <w:sz w:val="32"/>
          <w:szCs w:val="32"/>
        </w:rPr>
      </w:pPr>
    </w:p>
    <w:sectPr w:rsidR="00F371CA" w:rsidRPr="009056BB" w:rsidSect="00044440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05FDC"/>
    <w:multiLevelType w:val="multilevel"/>
    <w:tmpl w:val="76DEA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1D"/>
    <w:rsid w:val="00044440"/>
    <w:rsid w:val="002F5F84"/>
    <w:rsid w:val="004B6CDF"/>
    <w:rsid w:val="0060124C"/>
    <w:rsid w:val="00605D64"/>
    <w:rsid w:val="009056BB"/>
    <w:rsid w:val="00AE121D"/>
    <w:rsid w:val="00A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E12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E121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h3">
    <w:name w:val="h3"/>
    <w:basedOn w:val="Normale"/>
    <w:rsid w:val="00AE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E121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E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E12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E12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E121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h3">
    <w:name w:val="h3"/>
    <w:basedOn w:val="Normale"/>
    <w:rsid w:val="00AE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E121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E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E12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1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2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2130">
              <w:marLeft w:val="30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626BB-0F51-4B8D-B155-889345E6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6</cp:revision>
  <dcterms:created xsi:type="dcterms:W3CDTF">2020-10-15T06:53:00Z</dcterms:created>
  <dcterms:modified xsi:type="dcterms:W3CDTF">2021-05-10T07:24:00Z</dcterms:modified>
</cp:coreProperties>
</file>